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21, 2020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TILE SHOP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001-35629</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45-5538095</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67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14000 Carlson Parkway, Plymouth, Minnesota 55441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670"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500"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670" w:right="339" w:bottom="1440" w:gutter="0" w:footer="0" w:header="0"/>
          <w:type w:val="continuous"/>
        </w:sectPr>
      </w:pPr>
    </w:p>
    <w:p>
      <w:pPr>
        <w:spacing w:after="0" w:line="2"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55" w:lineRule="exact"/>
        <w:rPr>
          <w:sz w:val="24"/>
          <w:szCs w:val="24"/>
          <w:color w:val="auto"/>
        </w:rPr>
      </w:pPr>
    </w:p>
    <w:p>
      <w:pPr>
        <w:sectPr>
          <w:pgSz w:w="11900" w:h="16838" w:orient="portrait"/>
          <w:cols w:equalWidth="0" w:num="3">
            <w:col w:w="4240" w:space="720"/>
            <w:col w:w="2120" w:space="720"/>
            <w:col w:w="3440"/>
          </w:cols>
          <w:pgMar w:left="320" w:top="670" w:right="339" w:bottom="1440" w:gutter="0" w:footer="0" w:header="0"/>
          <w:type w:val="continuous"/>
        </w:sectPr>
      </w:pPr>
    </w:p>
    <w:p>
      <w:pPr>
        <w:ind w:left="1660"/>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br w:type="column"/>
      </w:r>
    </w:p>
    <w:p>
      <w:pPr>
        <w:jc w:val="center"/>
        <w:ind w:right="2740"/>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w:t>
      </w:r>
    </w:p>
    <w:p>
      <w:pPr>
        <w:spacing w:after="0" w:line="200" w:lineRule="exact"/>
        <w:rPr>
          <w:sz w:val="24"/>
          <w:szCs w:val="24"/>
          <w:color w:val="auto"/>
        </w:rPr>
      </w:pPr>
    </w:p>
    <w:p>
      <w:pPr>
        <w:sectPr>
          <w:pgSz w:w="11900" w:h="16838" w:orient="portrait"/>
          <w:cols w:equalWidth="0" w:num="3">
            <w:col w:w="4760" w:space="720"/>
            <w:col w:w="3040" w:space="720"/>
            <w:col w:w="2000"/>
          </w:cols>
          <w:pgMar w:left="320" w:top="670" w:right="339" w:bottom="1440" w:gutter="0" w:footer="0" w:header="0"/>
          <w:type w:val="continuous"/>
        </w:sectPr>
      </w:pPr>
    </w:p>
    <w:p>
      <w:pPr>
        <w:spacing w:after="0" w:line="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type w:val="continuous"/>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reported, on April 24, 2020, in response to the impact of the COVID-19 pandemic on Tile Shop Holdings, Inc. (the “Company”), the economy and the industry, the Board of Directors of the Company (the “Board”) approved, and each executive officer agreed to, a temporary reduction in the base salaries otherwise payable to the executive officers, effective April 16, 2020 until such time as the Board determined otherwise. On July 21, 2020, the Board approved the reinstatement of the executive officers’ base salaries to their respective pre-reduction levels, effective July 1, 2020, which is the beginning of the Company’s payroll period.</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held its 2020 Annual Meeting of Stockholders (the “Annual Meeting”) online on July 21, 2020, at which a total of 46,176,835 shares were present virtually or by proxy. At the Annual Meeting:</w:t>
      </w:r>
    </w:p>
    <w:p>
      <w:pPr>
        <w:spacing w:after="0" w:line="170" w:lineRule="exact"/>
        <w:rPr>
          <w:sz w:val="20"/>
          <w:szCs w:val="20"/>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Peter H. Kamin and Mark J. Bonney were elected to the Board as Class II directors to hold office until the 2023 Annual Meeting of Stockholders, and Deborah K. Glasser and Linda Solheid were elected to the Board as Class III directors to hold office until the 2021 Annual Meeting of Stockholders;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appointment of Ernst &amp; Young LLP as the Company’s independent registered public accounting firm for the fiscal year ending December 31, 2020 was ratified;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compensation of the Company’s named executive officers was approved, on a non-binding and advisory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voting results for each such matter were as follows: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ind w:left="1360"/>
              <w:spacing w:after="0"/>
              <w:rPr>
                <w:sz w:val="20"/>
                <w:szCs w:val="20"/>
                <w:color w:val="auto"/>
              </w:rPr>
            </w:pPr>
            <w:r>
              <w:rPr>
                <w:rFonts w:ascii="Arial" w:cs="Arial" w:eastAsia="Arial" w:hAnsi="Arial"/>
                <w:sz w:val="18"/>
                <w:szCs w:val="18"/>
                <w:b w:val="1"/>
                <w:bCs w:val="1"/>
                <w:color w:val="auto"/>
              </w:rPr>
              <w:t>Nominee</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700" w:type="dxa"/>
            <w:vAlign w:val="bottom"/>
            <w:gridSpan w:val="2"/>
          </w:tcPr>
          <w:p>
            <w:pPr>
              <w:ind w:left="940"/>
              <w:spacing w:after="0"/>
              <w:rPr>
                <w:sz w:val="20"/>
                <w:szCs w:val="20"/>
                <w:color w:val="auto"/>
              </w:rPr>
            </w:pPr>
            <w:r>
              <w:rPr>
                <w:rFonts w:ascii="Arial" w:cs="Arial" w:eastAsia="Arial" w:hAnsi="Arial"/>
                <w:sz w:val="18"/>
                <w:szCs w:val="18"/>
                <w:b w:val="1"/>
                <w:bCs w:val="1"/>
                <w:color w:val="auto"/>
              </w:rPr>
              <w:t>Withheld</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3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Peter H. Kamin</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30,766,181</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1,552,034</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13,858,620</w:t>
            </w:r>
          </w:p>
        </w:tc>
      </w:tr>
      <w:tr>
        <w:trPr>
          <w:trHeight w:val="216"/>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Mark J. Bonney</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28,597,581</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3,720,634</w:t>
            </w: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13,858,620</w:t>
            </w:r>
          </w:p>
        </w:tc>
      </w:tr>
      <w:tr>
        <w:trPr>
          <w:trHeight w:val="216"/>
        </w:trPr>
        <w:tc>
          <w:tcPr>
            <w:tcW w:w="3500" w:type="dxa"/>
            <w:vAlign w:val="bottom"/>
            <w:gridSpan w:val="2"/>
            <w:shd w:val="clear" w:color="auto" w:fill="CCECFF"/>
          </w:tcPr>
          <w:p>
            <w:pPr>
              <w:ind w:left="120"/>
              <w:spacing w:after="0"/>
              <w:rPr>
                <w:sz w:val="20"/>
                <w:szCs w:val="20"/>
                <w:color w:val="auto"/>
              </w:rPr>
            </w:pPr>
            <w:r>
              <w:rPr>
                <w:rFonts w:ascii="Arial" w:cs="Arial" w:eastAsia="Arial" w:hAnsi="Arial"/>
                <w:sz w:val="18"/>
                <w:szCs w:val="18"/>
                <w:color w:val="auto"/>
              </w:rPr>
              <w:t>Deborah K. Glasser</w:t>
            </w:r>
          </w:p>
        </w:tc>
        <w:tc>
          <w:tcPr>
            <w:tcW w:w="26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8"/>
              </w:rPr>
              <w:t>31,997,663</w:t>
            </w:r>
          </w:p>
        </w:tc>
        <w:tc>
          <w:tcPr>
            <w:tcW w:w="100" w:type="dxa"/>
            <w:vAlign w:val="bottom"/>
            <w:shd w:val="clear" w:color="auto" w:fill="CCECFF"/>
          </w:tcPr>
          <w:p>
            <w:pPr>
              <w:spacing w:after="0"/>
              <w:rPr>
                <w:sz w:val="18"/>
                <w:szCs w:val="18"/>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89"/>
              </w:rPr>
              <w:t>320,552</w:t>
            </w:r>
          </w:p>
        </w:tc>
        <w:tc>
          <w:tcPr>
            <w:tcW w:w="120" w:type="dxa"/>
            <w:vAlign w:val="bottom"/>
            <w:shd w:val="clear" w:color="auto" w:fill="CCECFF"/>
          </w:tcPr>
          <w:p>
            <w:pPr>
              <w:spacing w:after="0"/>
              <w:rPr>
                <w:sz w:val="18"/>
                <w:szCs w:val="18"/>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0"/>
              </w:rPr>
              <w:t>13,858,620</w:t>
            </w:r>
          </w:p>
        </w:tc>
      </w:tr>
      <w:tr>
        <w:trPr>
          <w:trHeight w:val="230"/>
        </w:trPr>
        <w:tc>
          <w:tcPr>
            <w:tcW w:w="3500" w:type="dxa"/>
            <w:vAlign w:val="bottom"/>
            <w:gridSpan w:val="2"/>
          </w:tcPr>
          <w:p>
            <w:pPr>
              <w:ind w:left="120"/>
              <w:spacing w:after="0"/>
              <w:rPr>
                <w:sz w:val="20"/>
                <w:szCs w:val="20"/>
                <w:color w:val="auto"/>
              </w:rPr>
            </w:pPr>
            <w:r>
              <w:rPr>
                <w:rFonts w:ascii="Arial" w:cs="Arial" w:eastAsia="Arial" w:hAnsi="Arial"/>
                <w:sz w:val="18"/>
                <w:szCs w:val="18"/>
                <w:color w:val="auto"/>
              </w:rPr>
              <w:t>Linda Solheid</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28,614,160</w:t>
            </w: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3,704,055</w:t>
            </w:r>
          </w:p>
        </w:tc>
        <w:tc>
          <w:tcPr>
            <w:tcW w:w="12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13,858,620</w:t>
            </w:r>
          </w:p>
        </w:tc>
      </w:tr>
    </w:tbl>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Philip B. Livingston’s term of service as a Class II director ended at the Annual Meeting. The other members of the Board whose terms of office continued after the Annual Meeting were Peter J. Jacullo III and Cabell H. Lolmaugh. Mr. Kamin serves as Chairman of the Board.</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Annual Meeting, the committees of the Board were reconstituted as follows: (i) Audit Committee – Mark J. Bonney (chair), Peter J. Jacullo III, Peter H. Kamin and Linda Solheid; (ii) Compensation Committee – Peter J. Jacullo III (chair), Mark J. Bonney and Deborah K. Glasser; and</w:t>
      </w:r>
    </w:p>
    <w:p>
      <w:pPr>
        <w:ind w:firstLine="8"/>
        <w:spacing w:after="0" w:line="290" w:lineRule="auto"/>
        <w:tabs>
          <w:tab w:leader="none" w:pos="346" w:val="left"/>
        </w:tabs>
        <w:numPr>
          <w:ilvl w:val="0"/>
          <w:numId w:val="4"/>
        </w:numPr>
        <w:rPr>
          <w:rFonts w:ascii="Arial" w:cs="Arial" w:eastAsia="Arial" w:hAnsi="Arial"/>
          <w:sz w:val="17"/>
          <w:szCs w:val="17"/>
          <w:color w:val="auto"/>
        </w:rPr>
      </w:pPr>
      <w:r>
        <w:rPr>
          <w:rFonts w:ascii="Arial" w:cs="Arial" w:eastAsia="Arial" w:hAnsi="Arial"/>
          <w:sz w:val="17"/>
          <w:szCs w:val="17"/>
          <w:color w:val="auto"/>
        </w:rPr>
        <w:t>Nominating and Corporate Governance Committee – Peter H. Kamin (chair), Deborah K. Glasser and Linda Solheid. The Company anticipates forming an Independent Transaction Committee, which is expected to initially be comprised of Mark J. Bonney (chair) and Linda Solheid.</w:t>
      </w:r>
    </w:p>
    <w:p>
      <w:pPr>
        <w:spacing w:after="0" w:line="161"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appointment of Ernst &amp; Young LLP as the Company’s independent registered public accounting firm for the fiscal year ending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72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42,326,471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3,832,978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17,386</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on a non-binding and advisory basis, of named executive officer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840" w:type="dxa"/>
            <w:vAlign w:val="bottom"/>
            <w:gridSpan w:val="2"/>
          </w:tcPr>
          <w:p>
            <w:pPr>
              <w:ind w:left="1080"/>
              <w:spacing w:after="0"/>
              <w:rPr>
                <w:sz w:val="20"/>
                <w:szCs w:val="20"/>
                <w:color w:val="auto"/>
              </w:rPr>
            </w:pPr>
            <w:r>
              <w:rPr>
                <w:rFonts w:ascii="Arial" w:cs="Arial" w:eastAsia="Arial" w:hAnsi="Arial"/>
                <w:sz w:val="18"/>
                <w:szCs w:val="18"/>
                <w:b w:val="1"/>
                <w:bCs w:val="1"/>
                <w:color w:val="auto"/>
              </w:rPr>
              <w:t>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72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31,519,958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509,556</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288,701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13,858,620</w:t>
            </w:r>
          </w:p>
        </w:tc>
      </w:tr>
      <w:tr>
        <w:trPr>
          <w:trHeight w:val="675"/>
        </w:trPr>
        <w:tc>
          <w:tcPr>
            <w:tcW w:w="2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TILE SHOP HOLDINGS, INC.</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July 22, 2020</w:t>
      </w:r>
      <w:r>
        <w:rPr>
          <w:sz w:val="20"/>
          <w:szCs w:val="20"/>
          <w:color w:val="auto"/>
        </w:rPr>
        <w:tab/>
      </w:r>
      <w:r>
        <w:rPr>
          <w:rFonts w:ascii="Arial" w:cs="Arial" w:eastAsia="Arial" w:hAnsi="Arial"/>
          <w:sz w:val="17"/>
          <w:szCs w:val="17"/>
          <w:color w:val="auto"/>
        </w:rPr>
        <w:t>Name: Nancy DiMattia</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2020-07-22T11:28:49Z</dcterms:created>
  <dcterms:modified xsi:type="dcterms:W3CDTF">2020-07-22T11:28:49Z</dcterms:modified>
</cp:coreProperties>
</file>